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C35843" w:rsidRDefault="00465D96" w:rsidP="005B2896">
      <w:pPr>
        <w:jc w:val="both"/>
        <w:rPr>
          <w:sz w:val="10"/>
          <w:szCs w:val="10"/>
          <w:lang w:eastAsia="hr-HR"/>
        </w:rPr>
      </w:pPr>
    </w:p>
    <w:p w:rsidR="008928A5" w:rsidRDefault="008928A5" w:rsidP="005B2896">
      <w:pPr>
        <w:jc w:val="both"/>
      </w:pPr>
    </w:p>
    <w:p w:rsidR="00465D96" w:rsidRPr="00F41591" w:rsidRDefault="00465D96" w:rsidP="005B2896">
      <w:pPr>
        <w:jc w:val="both"/>
      </w:pPr>
      <w:r w:rsidRPr="00F41591">
        <w:t>OBJAVA ZA MEDIJE</w:t>
      </w:r>
    </w:p>
    <w:p w:rsidR="00465D96" w:rsidRDefault="00F41591" w:rsidP="005B2896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59581" wp14:editId="48356056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2306EC" w:rsidRDefault="00D4777B" w:rsidP="00D4777B">
      <w:pPr>
        <w:spacing w:after="120"/>
        <w:rPr>
          <w:color w:val="auto"/>
          <w:sz w:val="28"/>
          <w:szCs w:val="28"/>
        </w:rPr>
      </w:pPr>
      <w:r w:rsidRPr="002306EC">
        <w:rPr>
          <w:color w:val="auto"/>
          <w:sz w:val="28"/>
          <w:szCs w:val="28"/>
        </w:rPr>
        <w:t xml:space="preserve">HEP dobio Deloitteovu nagradu Green Frog Award </w:t>
      </w:r>
    </w:p>
    <w:p w:rsidR="002306EC" w:rsidRPr="001C64DB" w:rsidRDefault="002306EC" w:rsidP="00D4777B">
      <w:pPr>
        <w:spacing w:after="120"/>
        <w:rPr>
          <w:b w:val="0"/>
          <w:sz w:val="28"/>
          <w:szCs w:val="28"/>
        </w:rPr>
      </w:pPr>
    </w:p>
    <w:p w:rsidR="00D4777B" w:rsidRPr="002306EC" w:rsidRDefault="002306EC" w:rsidP="00D4777B">
      <w:pPr>
        <w:spacing w:after="120"/>
        <w:rPr>
          <w:color w:val="404040" w:themeColor="text1" w:themeTint="BF"/>
        </w:rPr>
      </w:pPr>
      <w:r>
        <w:rPr>
          <w:b w:val="0"/>
          <w:color w:val="404040" w:themeColor="text1" w:themeTint="BF"/>
        </w:rPr>
        <w:t>ZAGREB, 16. travnja</w:t>
      </w:r>
      <w:r w:rsidR="00D4777B" w:rsidRPr="009A0B4D">
        <w:rPr>
          <w:b w:val="0"/>
          <w:color w:val="404040" w:themeColor="text1" w:themeTint="BF"/>
        </w:rPr>
        <w:t xml:space="preserve"> 2019. </w:t>
      </w:r>
      <w:r>
        <w:rPr>
          <w:b w:val="0"/>
          <w:color w:val="404040" w:themeColor="text1" w:themeTint="BF"/>
        </w:rPr>
        <w:t xml:space="preserve">- </w:t>
      </w:r>
      <w:r w:rsidR="00D4777B" w:rsidRPr="002306EC">
        <w:rPr>
          <w:color w:val="404040" w:themeColor="text1" w:themeTint="BF"/>
        </w:rPr>
        <w:t>Hrvatska elektroprivreda</w:t>
      </w:r>
      <w:r w:rsidR="00894094">
        <w:rPr>
          <w:color w:val="404040" w:themeColor="text1" w:themeTint="BF"/>
        </w:rPr>
        <w:t xml:space="preserve"> </w:t>
      </w:r>
      <w:r w:rsidR="00D4777B" w:rsidRPr="002306EC">
        <w:rPr>
          <w:color w:val="404040" w:themeColor="text1" w:themeTint="BF"/>
        </w:rPr>
        <w:t xml:space="preserve">(HEP) je prema ocjeni neovisnog stručnog žirija nagrade Green Frog Award, među hrvatskim tvrtkama ostvarila najveći napredak u nefinancijskom izvještavanju u 2018. godini. </w:t>
      </w:r>
    </w:p>
    <w:p w:rsidR="00D4777B" w:rsidRPr="009A0B4D" w:rsidRDefault="00D4777B" w:rsidP="002306EC">
      <w:pPr>
        <w:spacing w:after="120"/>
        <w:jc w:val="both"/>
        <w:rPr>
          <w:b w:val="0"/>
          <w:color w:val="404040" w:themeColor="text1" w:themeTint="BF"/>
        </w:rPr>
      </w:pPr>
      <w:r w:rsidRPr="009A0B4D">
        <w:rPr>
          <w:b w:val="0"/>
          <w:color w:val="404040" w:themeColor="text1" w:themeTint="BF"/>
        </w:rPr>
        <w:t>Nagradu za napredak iskazan u Izvješću o održivosti HEP grupe za 2017. godinu, HEP je dobio na konferenciji Ulaganje u održivost, održanoj danas u Zagrebu,</w:t>
      </w:r>
      <w:r w:rsidR="002306EC">
        <w:rPr>
          <w:b w:val="0"/>
          <w:color w:val="404040" w:themeColor="text1" w:themeTint="BF"/>
        </w:rPr>
        <w:t xml:space="preserve"> u organizaciji </w:t>
      </w:r>
      <w:r w:rsidRPr="009A0B4D">
        <w:rPr>
          <w:b w:val="0"/>
          <w:color w:val="404040" w:themeColor="text1" w:themeTint="BF"/>
        </w:rPr>
        <w:t>tvrtke Deloitte Hrvatska i u suradnji s Hrvatskom udrugom poslodavaca i Global Compact mrežom Hrvatske.</w:t>
      </w:r>
      <w:r w:rsidR="00894094">
        <w:rPr>
          <w:b w:val="0"/>
          <w:color w:val="404040" w:themeColor="text1" w:themeTint="BF"/>
        </w:rPr>
        <w:t xml:space="preserve"> </w:t>
      </w:r>
      <w:r w:rsidRPr="009A0B4D">
        <w:rPr>
          <w:b w:val="0"/>
          <w:color w:val="404040" w:themeColor="text1" w:themeTint="BF"/>
        </w:rPr>
        <w:t>U</w:t>
      </w:r>
      <w:r w:rsidR="00894094">
        <w:rPr>
          <w:b w:val="0"/>
          <w:color w:val="404040" w:themeColor="text1" w:themeTint="BF"/>
        </w:rPr>
        <w:t xml:space="preserve"> </w:t>
      </w:r>
      <w:r w:rsidRPr="009A0B4D">
        <w:rPr>
          <w:b w:val="0"/>
          <w:color w:val="404040" w:themeColor="text1" w:themeTint="BF"/>
        </w:rPr>
        <w:t>sklopu konferencije održana je i dodjela nagrade Green Frog za najbolje nefinancijsko izvješće u srednjoj Europi.</w:t>
      </w:r>
    </w:p>
    <w:p w:rsidR="00D4777B" w:rsidRPr="009A0B4D" w:rsidRDefault="00D4777B" w:rsidP="002306EC">
      <w:pPr>
        <w:spacing w:after="120"/>
        <w:jc w:val="both"/>
        <w:rPr>
          <w:b w:val="0"/>
          <w:color w:val="404040" w:themeColor="text1" w:themeTint="BF"/>
        </w:rPr>
      </w:pPr>
      <w:r w:rsidRPr="009A0B4D">
        <w:rPr>
          <w:b w:val="0"/>
          <w:color w:val="404040" w:themeColor="text1" w:themeTint="BF"/>
        </w:rPr>
        <w:t>​Izvješće o održivosti HEP grupe za 2017. godinu sastavljeno​ je prema sržnoj opciji smjernica globalno prevladavajućeg GRI Standarda, a u cilju što veće  transparentnosti uključuje i podatke prema  pokazateljima Sektorskog dodatka za energetiku. Na pripremi izvješća radila je radna skupina sastavljena od više od 30 članova iz svih dijelova HEP grupe, a on-line upitnikom uključeni su i dionici HEP grupe, njih 71 različitog profila, od državne uprave i organizacija, kupaca i korisnika, znanstvenih i obrazovnih institucija, dobavljača, medija, lokalne i regionalne samouprave i uprave, nevladinih organizacija, strukovnih udruženja te ovlaštenika u pitanjima zaštite okoliša. Oni su se, kao i članovi HEP-ove radne skupine izjasnili o izboru materijalnim pitanjima te o procjeni potencijala doprinosa HEP grupe ostvarenju pojedinih globalnih ciljeva održivog razvoja, koji su posljednjih nekoliko godina sve više u fokusu politike i poslovnog sektora.</w:t>
      </w:r>
    </w:p>
    <w:p w:rsidR="00D4777B" w:rsidRPr="009A0B4D" w:rsidRDefault="002306EC" w:rsidP="002306EC">
      <w:pPr>
        <w:spacing w:after="120"/>
        <w:jc w:val="both"/>
        <w:rPr>
          <w:b w:val="0"/>
          <w:color w:val="404040" w:themeColor="text1" w:themeTint="BF"/>
        </w:rPr>
      </w:pPr>
      <w:r w:rsidRPr="002306EC">
        <w:rPr>
          <w:b w:val="0"/>
          <w:i/>
          <w:color w:val="404040" w:themeColor="text1" w:themeTint="BF"/>
        </w:rPr>
        <w:t>„</w:t>
      </w:r>
      <w:r w:rsidR="00D4777B" w:rsidRPr="002306EC">
        <w:rPr>
          <w:b w:val="0"/>
          <w:i/>
          <w:color w:val="404040" w:themeColor="text1" w:themeTint="BF"/>
        </w:rPr>
        <w:t>Naše prvo Izvješće o održivosti prema GRI standardu, za 2013. i 2014. godinu, objavili smo nekoliko godina prije uvođenja zakonske obveze.</w:t>
      </w:r>
      <w:r w:rsidR="00894094">
        <w:rPr>
          <w:b w:val="0"/>
          <w:i/>
          <w:color w:val="404040" w:themeColor="text1" w:themeTint="BF"/>
        </w:rPr>
        <w:t xml:space="preserve"> </w:t>
      </w:r>
      <w:r w:rsidR="00D4777B" w:rsidRPr="002306EC">
        <w:rPr>
          <w:b w:val="0"/>
          <w:i/>
          <w:color w:val="404040" w:themeColor="text1" w:themeTint="BF"/>
        </w:rPr>
        <w:t>Veličina i značaj HEP grupe te široki raspon ekonomskih, okolišnih i društvenih utjecaja, učvrstili su nas u odluci da izvještavanju o održivosti pristupimo odgovorno i angažirano, nastojeći pratiti najbolju praksu. Nagrada Green Frog potvrda je da smo na pravom putu kad je riječ o kvalitetnoj, sveobuhvatnoj i transparentnoj komunikaciji s našim dionicima</w:t>
      </w:r>
      <w:r>
        <w:rPr>
          <w:b w:val="0"/>
          <w:i/>
          <w:color w:val="404040" w:themeColor="text1" w:themeTint="BF"/>
        </w:rPr>
        <w:t>“</w:t>
      </w:r>
      <w:r w:rsidR="00D4777B" w:rsidRPr="009A0B4D">
        <w:rPr>
          <w:b w:val="0"/>
          <w:color w:val="404040" w:themeColor="text1" w:themeTint="BF"/>
        </w:rPr>
        <w:t xml:space="preserve">, izjavio je član Uprave HEP-a Marko Ćosić, preuzimajući nagradu. </w:t>
      </w:r>
    </w:p>
    <w:p w:rsidR="00D4777B" w:rsidRPr="009A0B4D" w:rsidRDefault="00D4777B" w:rsidP="002306EC">
      <w:pPr>
        <w:spacing w:after="120"/>
        <w:jc w:val="both"/>
        <w:rPr>
          <w:b w:val="0"/>
          <w:color w:val="404040" w:themeColor="text1" w:themeTint="BF"/>
        </w:rPr>
      </w:pPr>
      <w:r w:rsidRPr="009A0B4D">
        <w:rPr>
          <w:b w:val="0"/>
          <w:color w:val="404040" w:themeColor="text1" w:themeTint="BF"/>
        </w:rPr>
        <w:t>Izvješće o održivosti za 2017. godinu sadrži i stručno mišljenje o izvješću koje je izradio Hrvatski pos</w:t>
      </w:r>
      <w:r w:rsidR="002306EC">
        <w:rPr>
          <w:b w:val="0"/>
          <w:color w:val="404040" w:themeColor="text1" w:themeTint="BF"/>
        </w:rPr>
        <w:t xml:space="preserve">lovni savjet za održivi razvoj. </w:t>
      </w:r>
      <w:r w:rsidRPr="009A0B4D">
        <w:rPr>
          <w:b w:val="0"/>
          <w:color w:val="404040" w:themeColor="text1" w:themeTint="BF"/>
        </w:rPr>
        <w:t>Izvješće je objavljeno u skladu s obvezom iz Zakona o raču</w:t>
      </w:r>
      <w:r w:rsidR="00894094">
        <w:rPr>
          <w:b w:val="0"/>
          <w:color w:val="404040" w:themeColor="text1" w:themeTint="BF"/>
        </w:rPr>
        <w:t xml:space="preserve">novodstvu, odnosno EU Direktive o </w:t>
      </w:r>
      <w:r w:rsidRPr="009A0B4D">
        <w:rPr>
          <w:b w:val="0"/>
          <w:color w:val="404040" w:themeColor="text1" w:themeTint="BF"/>
        </w:rPr>
        <w:t xml:space="preserve">objavljivanju nefinancijskih i drugih informacija za velike tvrtke. Tvrtke na koje se </w:t>
      </w:r>
      <w:r w:rsidR="002306EC">
        <w:rPr>
          <w:b w:val="0"/>
          <w:color w:val="404040" w:themeColor="text1" w:themeTint="BF"/>
        </w:rPr>
        <w:t xml:space="preserve">obveza odnosi </w:t>
      </w:r>
      <w:r w:rsidRPr="009A0B4D">
        <w:rPr>
          <w:b w:val="0"/>
          <w:color w:val="404040" w:themeColor="text1" w:themeTint="BF"/>
        </w:rPr>
        <w:t>moraju izvještavati o politikama, rizicima i ishodima u okolišnim i društvenim pitanjima, pitanjima surad</w:t>
      </w:r>
      <w:r w:rsidR="002306EC">
        <w:rPr>
          <w:b w:val="0"/>
          <w:color w:val="404040" w:themeColor="text1" w:themeTint="BF"/>
        </w:rPr>
        <w:t>nje sa zaposlenicima, poštivanju</w:t>
      </w:r>
      <w:r w:rsidRPr="009A0B4D">
        <w:rPr>
          <w:b w:val="0"/>
          <w:color w:val="404040" w:themeColor="text1" w:themeTint="BF"/>
        </w:rPr>
        <w:t xml:space="preserve"> </w:t>
      </w:r>
      <w:r w:rsidR="002306EC">
        <w:rPr>
          <w:b w:val="0"/>
          <w:color w:val="404040" w:themeColor="text1" w:themeTint="BF"/>
        </w:rPr>
        <w:t>ljudskih prava, antikorupcijskoj</w:t>
      </w:r>
      <w:r w:rsidRPr="009A0B4D">
        <w:rPr>
          <w:b w:val="0"/>
          <w:color w:val="404040" w:themeColor="text1" w:themeTint="BF"/>
        </w:rPr>
        <w:t xml:space="preserve"> praksi te raznim drugim aspektima poslovanja.</w:t>
      </w:r>
    </w:p>
    <w:p w:rsidR="00D4777B" w:rsidRPr="009A0B4D" w:rsidRDefault="00D4777B" w:rsidP="002306EC">
      <w:pPr>
        <w:spacing w:after="120"/>
        <w:jc w:val="both"/>
        <w:rPr>
          <w:b w:val="0"/>
          <w:color w:val="404040" w:themeColor="text1" w:themeTint="BF"/>
        </w:rPr>
      </w:pPr>
      <w:r w:rsidRPr="009A0B4D">
        <w:rPr>
          <w:b w:val="0"/>
          <w:color w:val="404040" w:themeColor="text1" w:themeTint="BF"/>
        </w:rPr>
        <w:t xml:space="preserve">Nacionalnu nagradu za najbolje izvješće </w:t>
      </w:r>
      <w:r w:rsidR="002306EC">
        <w:rPr>
          <w:b w:val="0"/>
          <w:color w:val="404040" w:themeColor="text1" w:themeTint="BF"/>
        </w:rPr>
        <w:t xml:space="preserve">o održivosti dobila je INA d.d., </w:t>
      </w:r>
      <w:r w:rsidRPr="009A0B4D">
        <w:rPr>
          <w:b w:val="0"/>
          <w:color w:val="404040" w:themeColor="text1" w:themeTint="BF"/>
        </w:rPr>
        <w:t xml:space="preserve">a nagrade u regijama srednje Europe i Zajednice neovisnih zemalja (CIS) osvojili su Orange Poljska, Nornickel i Plzensky </w:t>
      </w:r>
      <w:r w:rsidR="00894094">
        <w:rPr>
          <w:b w:val="0"/>
          <w:color w:val="404040" w:themeColor="text1" w:themeTint="BF"/>
        </w:rPr>
        <w:t xml:space="preserve">Prazdroj. </w:t>
      </w:r>
      <w:r w:rsidRPr="009A0B4D">
        <w:rPr>
          <w:b w:val="0"/>
          <w:color w:val="404040" w:themeColor="text1" w:themeTint="BF"/>
        </w:rPr>
        <w:t xml:space="preserve">Regionalna dodjela nagrade po prvi je puta održana u Hrvatskoj.  Nagradu Green Frog pokrenula je Mađarska 2000. </w:t>
      </w:r>
      <w:r w:rsidR="000B4456">
        <w:rPr>
          <w:b w:val="0"/>
          <w:color w:val="404040" w:themeColor="text1" w:themeTint="BF"/>
        </w:rPr>
        <w:t>g</w:t>
      </w:r>
      <w:r w:rsidRPr="009A0B4D">
        <w:rPr>
          <w:b w:val="0"/>
          <w:color w:val="404040" w:themeColor="text1" w:themeTint="BF"/>
        </w:rPr>
        <w:t>odine, a postupno s</w:t>
      </w:r>
      <w:r w:rsidR="000B4456">
        <w:rPr>
          <w:b w:val="0"/>
          <w:color w:val="404040" w:themeColor="text1" w:themeTint="BF"/>
        </w:rPr>
        <w:t>u</w:t>
      </w:r>
      <w:r w:rsidRPr="009A0B4D">
        <w:rPr>
          <w:b w:val="0"/>
          <w:color w:val="404040" w:themeColor="text1" w:themeTint="BF"/>
        </w:rPr>
        <w:t xml:space="preserve"> je prihvatile i ostale države srednje Europe. Ove je godine organizator zaprimio i ocijenio ukupno 112 izvješća, najviše do sada. Hrvatsko i poljsko tržište imali su najveći broj prijava među državama koje su sudjelovale u natjecanju, istaknuli su u Deloitteu Hrvatska.</w:t>
      </w:r>
    </w:p>
    <w:p w:rsidR="00D4777B" w:rsidRDefault="00D4777B" w:rsidP="00D4777B">
      <w:pPr>
        <w:spacing w:after="60" w:line="276" w:lineRule="auto"/>
        <w:jc w:val="both"/>
        <w:rPr>
          <w:b w:val="0"/>
          <w:color w:val="404040" w:themeColor="text1" w:themeTint="BF"/>
        </w:rPr>
      </w:pPr>
    </w:p>
    <w:p w:rsidR="00FA0E1B" w:rsidRPr="00FA0E1B" w:rsidRDefault="00FA0E1B" w:rsidP="00FA0E1B">
      <w:pPr>
        <w:pBdr>
          <w:bottom w:val="single" w:sz="4" w:space="1" w:color="auto"/>
        </w:pBdr>
        <w:spacing w:after="120" w:line="276" w:lineRule="auto"/>
        <w:jc w:val="both"/>
        <w:rPr>
          <w:b w:val="0"/>
          <w:color w:val="404040" w:themeColor="text1" w:themeTint="BF"/>
          <w:sz w:val="10"/>
          <w:szCs w:val="10"/>
        </w:rPr>
      </w:pPr>
    </w:p>
    <w:p w:rsidR="000270AC" w:rsidRDefault="00894094" w:rsidP="000270AC">
      <w:pPr>
        <w:spacing w:line="276" w:lineRule="auto"/>
        <w:jc w:val="both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 xml:space="preserve">Kontakt: </w:t>
      </w:r>
      <w:r w:rsidR="000270AC" w:rsidRPr="002B474E">
        <w:rPr>
          <w:b w:val="0"/>
          <w:color w:val="404040" w:themeColor="text1" w:themeTint="BF"/>
        </w:rPr>
        <w:t>Sektor za korporativne komunikacije (</w:t>
      </w:r>
      <w:hyperlink r:id="rId9" w:history="1">
        <w:r w:rsidR="000270AC" w:rsidRPr="00B278E2">
          <w:rPr>
            <w:rStyle w:val="Hyperlink"/>
            <w:b w:val="0"/>
          </w:rPr>
          <w:t>odnosisjavnoscu@hep.hr</w:t>
        </w:r>
      </w:hyperlink>
      <w:r w:rsidR="000270AC" w:rsidRPr="002B474E">
        <w:rPr>
          <w:b w:val="0"/>
          <w:color w:val="404040" w:themeColor="text1" w:themeTint="BF"/>
        </w:rPr>
        <w:t>)</w:t>
      </w:r>
    </w:p>
    <w:p w:rsidR="000270AC" w:rsidRDefault="000270AC" w:rsidP="00B81C5E">
      <w:pPr>
        <w:spacing w:after="120" w:line="276" w:lineRule="auto"/>
        <w:jc w:val="both"/>
        <w:rPr>
          <w:b w:val="0"/>
          <w:color w:val="404040" w:themeColor="text1" w:themeTint="BF"/>
          <w:sz w:val="10"/>
          <w:szCs w:val="10"/>
        </w:rPr>
      </w:pPr>
    </w:p>
    <w:p w:rsidR="00070C1B" w:rsidRDefault="00070C1B" w:rsidP="00B81C5E">
      <w:pPr>
        <w:spacing w:after="120" w:line="276" w:lineRule="auto"/>
        <w:jc w:val="both"/>
        <w:rPr>
          <w:b w:val="0"/>
          <w:color w:val="404040" w:themeColor="text1" w:themeTint="BF"/>
          <w:sz w:val="10"/>
          <w:szCs w:val="10"/>
        </w:rPr>
      </w:pPr>
    </w:p>
    <w:p w:rsidR="00070C1B" w:rsidRDefault="00070C1B" w:rsidP="00B81C5E">
      <w:pPr>
        <w:spacing w:after="120" w:line="276" w:lineRule="auto"/>
        <w:jc w:val="both"/>
        <w:rPr>
          <w:b w:val="0"/>
          <w:color w:val="404040" w:themeColor="text1" w:themeTint="BF"/>
          <w:sz w:val="10"/>
          <w:szCs w:val="10"/>
        </w:rPr>
      </w:pPr>
    </w:p>
    <w:p w:rsidR="00070C1B" w:rsidRDefault="00070C1B" w:rsidP="00B81C5E">
      <w:pPr>
        <w:spacing w:after="120" w:line="276" w:lineRule="auto"/>
        <w:jc w:val="both"/>
        <w:rPr>
          <w:b w:val="0"/>
          <w:color w:val="404040" w:themeColor="text1" w:themeTint="BF"/>
          <w:sz w:val="10"/>
          <w:szCs w:val="10"/>
        </w:rPr>
      </w:pPr>
    </w:p>
    <w:p w:rsidR="00070C1B" w:rsidRDefault="00070C1B" w:rsidP="00B81C5E">
      <w:pPr>
        <w:spacing w:after="120" w:line="276" w:lineRule="auto"/>
        <w:jc w:val="both"/>
        <w:rPr>
          <w:b w:val="0"/>
          <w:color w:val="404040" w:themeColor="text1" w:themeTint="BF"/>
          <w:sz w:val="10"/>
          <w:szCs w:val="10"/>
        </w:rPr>
      </w:pPr>
    </w:p>
    <w:p w:rsidR="00070C1B" w:rsidRPr="00FA0E1B" w:rsidRDefault="00070C1B" w:rsidP="00B81C5E">
      <w:pPr>
        <w:spacing w:after="120" w:line="276" w:lineRule="auto"/>
        <w:jc w:val="both"/>
        <w:rPr>
          <w:b w:val="0"/>
          <w:color w:val="404040" w:themeColor="text1" w:themeTint="BF"/>
          <w:sz w:val="10"/>
          <w:szCs w:val="10"/>
        </w:rPr>
      </w:pPr>
      <w:r>
        <w:rPr>
          <w:b w:val="0"/>
          <w:noProof/>
          <w:color w:val="404040" w:themeColor="text1" w:themeTint="BF"/>
          <w:sz w:val="10"/>
          <w:szCs w:val="10"/>
          <w:lang w:eastAsia="hr-HR"/>
        </w:rPr>
        <w:drawing>
          <wp:inline distT="0" distB="0" distL="0" distR="0">
            <wp:extent cx="5760720" cy="3840480"/>
            <wp:effectExtent l="0" t="0" r="0" b="7620"/>
            <wp:docPr id="1" name="Picture 1" descr="C:\Users\lkopjar1\Desktop\Green Frog\Marko Cosic - clan Uprave HEP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Green Frog\Marko Cosic - clan Uprave HEP-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C1B" w:rsidRPr="00FA0E1B" w:rsidSect="009F67F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33" w:rsidRDefault="00FD2C33" w:rsidP="004E7467">
      <w:r>
        <w:separator/>
      </w:r>
    </w:p>
  </w:endnote>
  <w:endnote w:type="continuationSeparator" w:id="0">
    <w:p w:rsidR="00FD2C33" w:rsidRDefault="00FD2C33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85914"/>
      <w:docPartObj>
        <w:docPartGallery w:val="Page Numbers (Bottom of Page)"/>
        <w:docPartUnique/>
      </w:docPartObj>
    </w:sdtPr>
    <w:sdtEndPr/>
    <w:sdtContent>
      <w:p w:rsidR="00EB11AE" w:rsidRDefault="00EB11A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C1B">
          <w:rPr>
            <w:noProof/>
          </w:rPr>
          <w:t>2</w:t>
        </w:r>
        <w:r>
          <w:fldChar w:fldCharType="end"/>
        </w:r>
      </w:p>
    </w:sdtContent>
  </w:sdt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33" w:rsidRDefault="00FD2C33" w:rsidP="004E7467">
      <w:r>
        <w:separator/>
      </w:r>
    </w:p>
  </w:footnote>
  <w:footnote w:type="continuationSeparator" w:id="0">
    <w:p w:rsidR="00FD2C33" w:rsidRDefault="00FD2C33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43" w:rsidRPr="00465D96" w:rsidRDefault="00C35843" w:rsidP="00C35843">
    <w:pPr>
      <w:jc w:val="both"/>
      <w:rPr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A0861" wp14:editId="71304D3F">
              <wp:simplePos x="0" y="0"/>
              <wp:positionH relativeFrom="column">
                <wp:posOffset>5167630</wp:posOffset>
              </wp:positionH>
              <wp:positionV relativeFrom="paragraph">
                <wp:posOffset>395605</wp:posOffset>
              </wp:positionV>
              <wp:extent cx="152400" cy="152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406.9pt;margin-top:31.1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2mvJ9o4CAACEBQAADgAAAAAAAAAAAAAAAAAuAgAAZHJzL2Uyb0RvYy54bWxQSwEC&#10;LQAUAAYACAAAACEAwqrMQ98AAAAJAQAADwAAAAAAAAAAAAAAAADoBAAAZHJzL2Rvd25yZXYueG1s&#10;UEsFBgAAAAAEAAQA8wAAAPQFAAAAAA==&#10;" fillcolor="#c00000" stroked="f" strokeweight="2pt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106C2F" wp14:editId="4213427B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257175" cy="257175"/>
              <wp:effectExtent l="0" t="0" r="952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" cy="257175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30.95pt;margin-top:.35pt;width:20.25pt;height:2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" fillcolor="#3c4682" stroked="f" strokeweight="2pt">
              <w10:wrap anchorx="margin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77EA48BD" wp14:editId="71F5759D">
          <wp:extent cx="1453945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P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39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843" w:rsidRDefault="00C35843" w:rsidP="00C35843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FC2"/>
    <w:multiLevelType w:val="hybridMultilevel"/>
    <w:tmpl w:val="89F4CA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E"/>
    <w:rsid w:val="000270AC"/>
    <w:rsid w:val="00047098"/>
    <w:rsid w:val="00050338"/>
    <w:rsid w:val="000507AE"/>
    <w:rsid w:val="0005478B"/>
    <w:rsid w:val="0005511E"/>
    <w:rsid w:val="000570C5"/>
    <w:rsid w:val="000600FC"/>
    <w:rsid w:val="00070C1B"/>
    <w:rsid w:val="000838B3"/>
    <w:rsid w:val="000B4456"/>
    <w:rsid w:val="000D322A"/>
    <w:rsid w:val="000E0666"/>
    <w:rsid w:val="000F3E38"/>
    <w:rsid w:val="001001FA"/>
    <w:rsid w:val="001035B6"/>
    <w:rsid w:val="00110975"/>
    <w:rsid w:val="00127938"/>
    <w:rsid w:val="00136182"/>
    <w:rsid w:val="0013740E"/>
    <w:rsid w:val="001426F4"/>
    <w:rsid w:val="00156FCA"/>
    <w:rsid w:val="00172D03"/>
    <w:rsid w:val="00175AB0"/>
    <w:rsid w:val="00176EE4"/>
    <w:rsid w:val="00180D35"/>
    <w:rsid w:val="001A1F28"/>
    <w:rsid w:val="001A27A7"/>
    <w:rsid w:val="001A79BD"/>
    <w:rsid w:val="001B78D8"/>
    <w:rsid w:val="001C1B1E"/>
    <w:rsid w:val="001E5164"/>
    <w:rsid w:val="00227604"/>
    <w:rsid w:val="00230691"/>
    <w:rsid w:val="002306EC"/>
    <w:rsid w:val="002353B2"/>
    <w:rsid w:val="00236551"/>
    <w:rsid w:val="00236C79"/>
    <w:rsid w:val="002433C7"/>
    <w:rsid w:val="00273054"/>
    <w:rsid w:val="00274E25"/>
    <w:rsid w:val="002B474E"/>
    <w:rsid w:val="002B4890"/>
    <w:rsid w:val="002C1A41"/>
    <w:rsid w:val="002D6E73"/>
    <w:rsid w:val="002E24B9"/>
    <w:rsid w:val="002E2E77"/>
    <w:rsid w:val="002E61AF"/>
    <w:rsid w:val="003039D0"/>
    <w:rsid w:val="00325CED"/>
    <w:rsid w:val="00326800"/>
    <w:rsid w:val="00330DB0"/>
    <w:rsid w:val="003657FB"/>
    <w:rsid w:val="003842CF"/>
    <w:rsid w:val="00391720"/>
    <w:rsid w:val="003948E3"/>
    <w:rsid w:val="00397ABA"/>
    <w:rsid w:val="003B16F1"/>
    <w:rsid w:val="003B74CD"/>
    <w:rsid w:val="003C4B0D"/>
    <w:rsid w:val="003F0800"/>
    <w:rsid w:val="003F2564"/>
    <w:rsid w:val="00424D08"/>
    <w:rsid w:val="0043446F"/>
    <w:rsid w:val="00452CAB"/>
    <w:rsid w:val="00463701"/>
    <w:rsid w:val="00465D96"/>
    <w:rsid w:val="004A35AF"/>
    <w:rsid w:val="004C6504"/>
    <w:rsid w:val="004D4674"/>
    <w:rsid w:val="004E7467"/>
    <w:rsid w:val="004F03FC"/>
    <w:rsid w:val="004F0E81"/>
    <w:rsid w:val="004F518D"/>
    <w:rsid w:val="005424E7"/>
    <w:rsid w:val="00561C77"/>
    <w:rsid w:val="0058300E"/>
    <w:rsid w:val="00583C23"/>
    <w:rsid w:val="005A386E"/>
    <w:rsid w:val="005B2896"/>
    <w:rsid w:val="005B6AB0"/>
    <w:rsid w:val="005C5EBE"/>
    <w:rsid w:val="005D3AA4"/>
    <w:rsid w:val="005D5695"/>
    <w:rsid w:val="005E1AB5"/>
    <w:rsid w:val="006164B7"/>
    <w:rsid w:val="006327BB"/>
    <w:rsid w:val="006339B5"/>
    <w:rsid w:val="006368F5"/>
    <w:rsid w:val="00661A3F"/>
    <w:rsid w:val="00677B79"/>
    <w:rsid w:val="006836BF"/>
    <w:rsid w:val="00692623"/>
    <w:rsid w:val="00693292"/>
    <w:rsid w:val="006955F9"/>
    <w:rsid w:val="00696630"/>
    <w:rsid w:val="006A2008"/>
    <w:rsid w:val="007058A0"/>
    <w:rsid w:val="007109D4"/>
    <w:rsid w:val="00710E4E"/>
    <w:rsid w:val="00715747"/>
    <w:rsid w:val="007167A5"/>
    <w:rsid w:val="00725739"/>
    <w:rsid w:val="0073131E"/>
    <w:rsid w:val="00736250"/>
    <w:rsid w:val="0074729D"/>
    <w:rsid w:val="007474BB"/>
    <w:rsid w:val="00750A9E"/>
    <w:rsid w:val="007759E3"/>
    <w:rsid w:val="007B57FA"/>
    <w:rsid w:val="007D7FE9"/>
    <w:rsid w:val="00800095"/>
    <w:rsid w:val="00813508"/>
    <w:rsid w:val="008229BA"/>
    <w:rsid w:val="0082775D"/>
    <w:rsid w:val="00860D1C"/>
    <w:rsid w:val="008611DF"/>
    <w:rsid w:val="008928A5"/>
    <w:rsid w:val="00894094"/>
    <w:rsid w:val="008A50D3"/>
    <w:rsid w:val="008A5568"/>
    <w:rsid w:val="008A736D"/>
    <w:rsid w:val="008C7383"/>
    <w:rsid w:val="008E19B3"/>
    <w:rsid w:val="008F4E50"/>
    <w:rsid w:val="00905FB4"/>
    <w:rsid w:val="00925029"/>
    <w:rsid w:val="00932024"/>
    <w:rsid w:val="00936056"/>
    <w:rsid w:val="00937D10"/>
    <w:rsid w:val="00963E43"/>
    <w:rsid w:val="009704EB"/>
    <w:rsid w:val="00976FC0"/>
    <w:rsid w:val="009A0B4D"/>
    <w:rsid w:val="009C3882"/>
    <w:rsid w:val="009D30BB"/>
    <w:rsid w:val="009D63A7"/>
    <w:rsid w:val="009E5942"/>
    <w:rsid w:val="009F67FD"/>
    <w:rsid w:val="00A327FA"/>
    <w:rsid w:val="00A5587F"/>
    <w:rsid w:val="00A57A6B"/>
    <w:rsid w:val="00A62C13"/>
    <w:rsid w:val="00A63553"/>
    <w:rsid w:val="00A73D48"/>
    <w:rsid w:val="00A819F8"/>
    <w:rsid w:val="00A84CD2"/>
    <w:rsid w:val="00A947AC"/>
    <w:rsid w:val="00A95828"/>
    <w:rsid w:val="00AA1B5D"/>
    <w:rsid w:val="00AE0D1C"/>
    <w:rsid w:val="00AF039F"/>
    <w:rsid w:val="00B16277"/>
    <w:rsid w:val="00B27590"/>
    <w:rsid w:val="00B44F2D"/>
    <w:rsid w:val="00B47EEE"/>
    <w:rsid w:val="00B60009"/>
    <w:rsid w:val="00B81C5E"/>
    <w:rsid w:val="00B852C7"/>
    <w:rsid w:val="00B8694C"/>
    <w:rsid w:val="00B90635"/>
    <w:rsid w:val="00BB26BC"/>
    <w:rsid w:val="00BD509B"/>
    <w:rsid w:val="00BE1A4A"/>
    <w:rsid w:val="00BF01C4"/>
    <w:rsid w:val="00C31C9D"/>
    <w:rsid w:val="00C35843"/>
    <w:rsid w:val="00C75C62"/>
    <w:rsid w:val="00C84A8E"/>
    <w:rsid w:val="00CA619D"/>
    <w:rsid w:val="00CB42D2"/>
    <w:rsid w:val="00CB65E2"/>
    <w:rsid w:val="00CF6866"/>
    <w:rsid w:val="00D17645"/>
    <w:rsid w:val="00D24D61"/>
    <w:rsid w:val="00D27117"/>
    <w:rsid w:val="00D27732"/>
    <w:rsid w:val="00D277C5"/>
    <w:rsid w:val="00D44599"/>
    <w:rsid w:val="00D4777B"/>
    <w:rsid w:val="00D566F0"/>
    <w:rsid w:val="00D76BE0"/>
    <w:rsid w:val="00DC6A83"/>
    <w:rsid w:val="00DD56BD"/>
    <w:rsid w:val="00E022ED"/>
    <w:rsid w:val="00E036B6"/>
    <w:rsid w:val="00E12038"/>
    <w:rsid w:val="00E1658C"/>
    <w:rsid w:val="00E20609"/>
    <w:rsid w:val="00E242F7"/>
    <w:rsid w:val="00E34E83"/>
    <w:rsid w:val="00E351E7"/>
    <w:rsid w:val="00E37218"/>
    <w:rsid w:val="00E5358E"/>
    <w:rsid w:val="00E54177"/>
    <w:rsid w:val="00E57A0C"/>
    <w:rsid w:val="00E70E56"/>
    <w:rsid w:val="00E711A3"/>
    <w:rsid w:val="00E74A59"/>
    <w:rsid w:val="00E93EBA"/>
    <w:rsid w:val="00E95B78"/>
    <w:rsid w:val="00EB11AE"/>
    <w:rsid w:val="00EB5E52"/>
    <w:rsid w:val="00EC43C2"/>
    <w:rsid w:val="00EC6E89"/>
    <w:rsid w:val="00ED7EA8"/>
    <w:rsid w:val="00F15246"/>
    <w:rsid w:val="00F30043"/>
    <w:rsid w:val="00F36838"/>
    <w:rsid w:val="00F41591"/>
    <w:rsid w:val="00F41F30"/>
    <w:rsid w:val="00F533D4"/>
    <w:rsid w:val="00F81F03"/>
    <w:rsid w:val="00FA0E1B"/>
    <w:rsid w:val="00FB0ABD"/>
    <w:rsid w:val="00FC5F79"/>
    <w:rsid w:val="00FD2C33"/>
    <w:rsid w:val="00FE1D4D"/>
    <w:rsid w:val="00FE6A23"/>
    <w:rsid w:val="00FE7765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odnosisjavnoscu@hep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Ce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3359-4370-4856-9FA5-710E4E97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Cetina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2</cp:revision>
  <cp:lastPrinted>2019-04-01T13:12:00Z</cp:lastPrinted>
  <dcterms:created xsi:type="dcterms:W3CDTF">2019-04-16T11:20:00Z</dcterms:created>
  <dcterms:modified xsi:type="dcterms:W3CDTF">2019-04-16T11:20:00Z</dcterms:modified>
</cp:coreProperties>
</file>